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2B" w:rsidRPr="0015622B" w:rsidRDefault="00461E67" w:rsidP="0015622B">
      <w:pPr>
        <w:jc w:val="center"/>
        <w:rPr>
          <w:rFonts w:asciiTheme="minorHAnsi" w:hAnsiTheme="minorHAnsi"/>
          <w:b/>
          <w:sz w:val="28"/>
          <w:szCs w:val="28"/>
        </w:rPr>
      </w:pPr>
      <w:r>
        <w:rPr>
          <w:rFonts w:asciiTheme="minorHAnsi" w:hAnsiTheme="minorHAnsi"/>
          <w:b/>
          <w:sz w:val="28"/>
          <w:szCs w:val="28"/>
        </w:rPr>
        <w:t>Monitoring Employee Performance</w:t>
      </w:r>
    </w:p>
    <w:p w:rsidR="0015622B" w:rsidRPr="0015622B" w:rsidRDefault="0015622B" w:rsidP="0015622B">
      <w:pPr>
        <w:rPr>
          <w:rFonts w:asciiTheme="minorHAnsi" w:hAnsiTheme="minorHAnsi"/>
        </w:rPr>
      </w:pPr>
    </w:p>
    <w:p w:rsidR="00461E67" w:rsidRDefault="00461E67" w:rsidP="0015622B">
      <w:pPr>
        <w:rPr>
          <w:rFonts w:asciiTheme="minorHAnsi" w:hAnsiTheme="minorHAnsi"/>
        </w:rPr>
      </w:pPr>
    </w:p>
    <w:p w:rsidR="00F02DAF" w:rsidRDefault="00461E67" w:rsidP="0015622B">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5238750</wp:posOffset>
            </wp:positionH>
            <wp:positionV relativeFrom="paragraph">
              <wp:posOffset>53975</wp:posOffset>
            </wp:positionV>
            <wp:extent cx="1238250" cy="1209675"/>
            <wp:effectExtent l="19050" t="0" r="0" b="0"/>
            <wp:wrapSquare wrapText="bothSides"/>
            <wp:docPr id="1" name="il_fi" descr="http://img.ehowcdn.com/article-page-main/ehow/images/a07/4j/l3/advice-performance-review-goals-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ehowcdn.com/article-page-main/ehow/images/a07/4j/l3/advice-performance-review-goals-800x800.jpg"/>
                    <pic:cNvPicPr>
                      <a:picLocks noChangeAspect="1" noChangeArrowheads="1"/>
                    </pic:cNvPicPr>
                  </pic:nvPicPr>
                  <pic:blipFill>
                    <a:blip r:embed="rId12" cstate="print"/>
                    <a:srcRect/>
                    <a:stretch>
                      <a:fillRect/>
                    </a:stretch>
                  </pic:blipFill>
                  <pic:spPr bwMode="auto">
                    <a:xfrm>
                      <a:off x="0" y="0"/>
                      <a:ext cx="1238250" cy="1209675"/>
                    </a:xfrm>
                    <a:prstGeom prst="rect">
                      <a:avLst/>
                    </a:prstGeom>
                    <a:noFill/>
                    <a:ln w="9525">
                      <a:noFill/>
                      <a:miter lim="800000"/>
                      <a:headEnd/>
                      <a:tailEnd/>
                    </a:ln>
                  </pic:spPr>
                </pic:pic>
              </a:graphicData>
            </a:graphic>
          </wp:anchor>
        </w:drawing>
      </w:r>
    </w:p>
    <w:p w:rsidR="00F02DAF" w:rsidRDefault="00461E67" w:rsidP="00461E67">
      <w:pPr>
        <w:rPr>
          <w:rFonts w:asciiTheme="minorHAnsi" w:hAnsiTheme="minorHAnsi"/>
        </w:rPr>
      </w:pPr>
      <w:r>
        <w:rPr>
          <w:rFonts w:asciiTheme="minorHAnsi" w:hAnsiTheme="minorHAnsi"/>
          <w:noProof/>
        </w:rPr>
        <w:t>Monitoring employee performance on an ongoing basis helps ensure employees are receiving constant feedback and coaching around their performance</w:t>
      </w:r>
      <w:r w:rsidR="002973EF">
        <w:rPr>
          <w:rFonts w:asciiTheme="minorHAnsi" w:hAnsiTheme="minorHAnsi"/>
          <w:noProof/>
        </w:rPr>
        <w:t xml:space="preserve"> and will help avoid surprises at the end of the performance cycle</w:t>
      </w:r>
      <w:r>
        <w:rPr>
          <w:rFonts w:asciiTheme="minorHAnsi" w:hAnsiTheme="minorHAnsi"/>
          <w:noProof/>
        </w:rPr>
        <w:t>.  It will also ensure you have the information needed to accurately assess</w:t>
      </w:r>
      <w:r w:rsidR="002973EF">
        <w:rPr>
          <w:rFonts w:asciiTheme="minorHAnsi" w:hAnsiTheme="minorHAnsi"/>
          <w:noProof/>
        </w:rPr>
        <w:t xml:space="preserve"> the employee’s</w:t>
      </w:r>
      <w:r>
        <w:rPr>
          <w:rFonts w:asciiTheme="minorHAnsi" w:hAnsiTheme="minorHAnsi"/>
          <w:noProof/>
        </w:rPr>
        <w:t xml:space="preserve"> performance at the end of the performance cycle.</w:t>
      </w:r>
    </w:p>
    <w:p w:rsidR="00F02DAF" w:rsidRDefault="00F02DAF" w:rsidP="0015622B">
      <w:pPr>
        <w:rPr>
          <w:rFonts w:asciiTheme="minorHAnsi" w:hAnsiTheme="minorHAnsi"/>
        </w:rPr>
      </w:pPr>
    </w:p>
    <w:p w:rsidR="00461E67" w:rsidRDefault="00461E67" w:rsidP="0015622B">
      <w:pPr>
        <w:rPr>
          <w:rFonts w:asciiTheme="minorHAnsi" w:hAnsiTheme="minorHAnsi"/>
        </w:rPr>
      </w:pPr>
    </w:p>
    <w:p w:rsidR="00F02DAF" w:rsidRDefault="00F02DAF" w:rsidP="0015622B">
      <w:pPr>
        <w:rPr>
          <w:rFonts w:asciiTheme="minorHAnsi" w:hAnsiTheme="minorHAnsi"/>
        </w:rPr>
      </w:pPr>
    </w:p>
    <w:p w:rsidR="00F02DAF" w:rsidRPr="00274059" w:rsidRDefault="00461E67" w:rsidP="0015622B">
      <w:pPr>
        <w:rPr>
          <w:rFonts w:asciiTheme="minorHAnsi" w:hAnsiTheme="minorHAnsi"/>
          <w:u w:val="single"/>
        </w:rPr>
      </w:pPr>
      <w:r>
        <w:rPr>
          <w:rFonts w:asciiTheme="minorHAnsi" w:hAnsiTheme="minorHAnsi"/>
          <w:u w:val="single"/>
        </w:rPr>
        <w:t>Key Activities in Monitoring Performance</w:t>
      </w:r>
    </w:p>
    <w:p w:rsidR="002A164B" w:rsidRDefault="002A164B" w:rsidP="0015622B">
      <w:pPr>
        <w:rPr>
          <w:rFonts w:asciiTheme="minorHAnsi" w:hAnsi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3258"/>
        <w:gridCol w:w="7038"/>
      </w:tblGrid>
      <w:tr w:rsidR="002A164B" w:rsidTr="00274059">
        <w:tc>
          <w:tcPr>
            <w:tcW w:w="3258" w:type="dxa"/>
          </w:tcPr>
          <w:p w:rsidR="002A164B" w:rsidRDefault="00461E67" w:rsidP="002A164B">
            <w:pPr>
              <w:rPr>
                <w:rFonts w:asciiTheme="minorHAnsi" w:hAnsiTheme="minorHAnsi"/>
              </w:rPr>
            </w:pPr>
            <w:r>
              <w:rPr>
                <w:rFonts w:asciiTheme="minorHAnsi" w:hAnsiTheme="minorHAnsi"/>
              </w:rPr>
              <w:t>Keep performance records</w:t>
            </w:r>
          </w:p>
        </w:tc>
        <w:tc>
          <w:tcPr>
            <w:tcW w:w="7038" w:type="dxa"/>
          </w:tcPr>
          <w:p w:rsidR="00530999" w:rsidRDefault="00461E67" w:rsidP="00530999">
            <w:pPr>
              <w:pStyle w:val="ListParagraph"/>
              <w:numPr>
                <w:ilvl w:val="0"/>
                <w:numId w:val="3"/>
              </w:numPr>
              <w:ind w:left="432"/>
            </w:pPr>
            <w:r>
              <w:t>Keep written records of each employee’s ongoing perf</w:t>
            </w:r>
            <w:r w:rsidR="00B85B4B">
              <w:t xml:space="preserve">ormance. Managers in </w:t>
            </w:r>
            <w:r>
              <w:t xml:space="preserve">ePerformance </w:t>
            </w:r>
            <w:r w:rsidR="00B85B4B">
              <w:t xml:space="preserve">agencies can </w:t>
            </w:r>
            <w:r>
              <w:t>do this online</w:t>
            </w:r>
            <w:r w:rsidR="00B85B4B">
              <w:t>.  Managers in agencies that don’t use ePerformance</w:t>
            </w:r>
            <w:r>
              <w:t xml:space="preserve"> can maintain the records on paper</w:t>
            </w:r>
            <w:r w:rsidR="002973EF">
              <w:t>.</w:t>
            </w:r>
          </w:p>
          <w:p w:rsidR="00461E67" w:rsidRDefault="00461E67" w:rsidP="00530999">
            <w:pPr>
              <w:pStyle w:val="ListParagraph"/>
              <w:numPr>
                <w:ilvl w:val="0"/>
                <w:numId w:val="3"/>
              </w:numPr>
              <w:ind w:left="432"/>
            </w:pPr>
            <w:r>
              <w:t>Record both negative and positive observations.  Make sure to document details and dates around each.</w:t>
            </w:r>
          </w:p>
          <w:p w:rsidR="00461E67" w:rsidRDefault="00461E67" w:rsidP="00530999">
            <w:pPr>
              <w:pStyle w:val="ListParagraph"/>
              <w:numPr>
                <w:ilvl w:val="0"/>
                <w:numId w:val="3"/>
              </w:numPr>
              <w:ind w:left="432"/>
            </w:pPr>
            <w:r>
              <w:t>Record facts, not opinions or feelings</w:t>
            </w:r>
            <w:r w:rsidR="002973EF">
              <w:t>.</w:t>
            </w:r>
          </w:p>
          <w:p w:rsidR="00A508C2" w:rsidRDefault="00A508C2" w:rsidP="00530999">
            <w:pPr>
              <w:pStyle w:val="ListParagraph"/>
              <w:numPr>
                <w:ilvl w:val="0"/>
                <w:numId w:val="3"/>
              </w:numPr>
              <w:ind w:left="432"/>
            </w:pPr>
            <w:r>
              <w:t>In situations where an employee reports to more than one person, it’s important that the manager who will be completing the performance evaluation consults regularly with the other manager(s) and documents their feedback accordingly.</w:t>
            </w:r>
          </w:p>
        </w:tc>
      </w:tr>
      <w:tr w:rsidR="00C03281" w:rsidTr="00274059">
        <w:tc>
          <w:tcPr>
            <w:tcW w:w="3258" w:type="dxa"/>
          </w:tcPr>
          <w:p w:rsidR="00C03281" w:rsidRDefault="00461E67" w:rsidP="002A164B">
            <w:pPr>
              <w:rPr>
                <w:rFonts w:asciiTheme="minorHAnsi" w:hAnsiTheme="minorHAnsi"/>
              </w:rPr>
            </w:pPr>
            <w:r>
              <w:rPr>
                <w:rFonts w:asciiTheme="minorHAnsi" w:hAnsiTheme="minorHAnsi"/>
              </w:rPr>
              <w:t>Update performance expectations as required</w:t>
            </w:r>
          </w:p>
        </w:tc>
        <w:tc>
          <w:tcPr>
            <w:tcW w:w="7038" w:type="dxa"/>
          </w:tcPr>
          <w:p w:rsidR="00530999" w:rsidRDefault="00461E67" w:rsidP="00530999">
            <w:pPr>
              <w:pStyle w:val="ListParagraph"/>
              <w:numPr>
                <w:ilvl w:val="0"/>
                <w:numId w:val="3"/>
              </w:numPr>
              <w:ind w:left="432"/>
            </w:pPr>
            <w:r>
              <w:t>Regularly check that the individual goals and job responsibilities that were established at the start of the performance cycle are still relevant.  Update the performance plans as needed.</w:t>
            </w:r>
          </w:p>
          <w:p w:rsidR="00461E67" w:rsidRDefault="00461E67" w:rsidP="00530999">
            <w:pPr>
              <w:pStyle w:val="ListParagraph"/>
              <w:numPr>
                <w:ilvl w:val="0"/>
                <w:numId w:val="3"/>
              </w:numPr>
              <w:ind w:left="432"/>
            </w:pPr>
            <w:r>
              <w:t xml:space="preserve">When goals or projects are completed, note the finish date, the results and how </w:t>
            </w:r>
            <w:r w:rsidR="002973EF">
              <w:t>well</w:t>
            </w:r>
            <w:r>
              <w:t xml:space="preserve"> the employee performed.</w:t>
            </w:r>
          </w:p>
          <w:p w:rsidR="00461E67" w:rsidRDefault="00461E67" w:rsidP="00530999">
            <w:pPr>
              <w:pStyle w:val="ListParagraph"/>
              <w:numPr>
                <w:ilvl w:val="0"/>
                <w:numId w:val="3"/>
              </w:numPr>
              <w:ind w:left="432"/>
            </w:pPr>
            <w:r>
              <w:t>Meet with employees to discuss any changes in performance expectations for the cycle.</w:t>
            </w:r>
          </w:p>
        </w:tc>
      </w:tr>
      <w:tr w:rsidR="002A164B" w:rsidTr="00274059">
        <w:tc>
          <w:tcPr>
            <w:tcW w:w="3258" w:type="dxa"/>
          </w:tcPr>
          <w:p w:rsidR="002A164B" w:rsidRDefault="00461E67" w:rsidP="002A164B">
            <w:pPr>
              <w:rPr>
                <w:rFonts w:asciiTheme="minorHAnsi" w:hAnsiTheme="minorHAnsi"/>
              </w:rPr>
            </w:pPr>
            <w:r>
              <w:rPr>
                <w:rFonts w:asciiTheme="minorHAnsi" w:hAnsiTheme="minorHAnsi"/>
              </w:rPr>
              <w:t>Offer feedback and coaching</w:t>
            </w:r>
          </w:p>
        </w:tc>
        <w:tc>
          <w:tcPr>
            <w:tcW w:w="7038" w:type="dxa"/>
          </w:tcPr>
          <w:p w:rsidR="00530999" w:rsidRDefault="00461E67" w:rsidP="00530999">
            <w:pPr>
              <w:pStyle w:val="ListParagraph"/>
              <w:numPr>
                <w:ilvl w:val="0"/>
                <w:numId w:val="3"/>
              </w:numPr>
              <w:ind w:left="432"/>
            </w:pPr>
            <w:r>
              <w:t>Consistently let employees know what you’re looking for and how their performance measures up.</w:t>
            </w:r>
          </w:p>
          <w:p w:rsidR="00461E67" w:rsidRDefault="00461E67" w:rsidP="00530999">
            <w:pPr>
              <w:pStyle w:val="ListParagraph"/>
              <w:numPr>
                <w:ilvl w:val="0"/>
                <w:numId w:val="3"/>
              </w:numPr>
              <w:ind w:left="432"/>
            </w:pPr>
            <w:r>
              <w:t>Reinforce strengths and encourage employees to make even more use of skills that are well developed.</w:t>
            </w:r>
          </w:p>
          <w:p w:rsidR="00461E67" w:rsidRDefault="00461E67" w:rsidP="00530999">
            <w:pPr>
              <w:pStyle w:val="ListParagraph"/>
              <w:numPr>
                <w:ilvl w:val="0"/>
                <w:numId w:val="3"/>
              </w:numPr>
              <w:ind w:left="432"/>
            </w:pPr>
            <w:r>
              <w:t>Tie recognition to job performance.  Let the employee know you notice a job well done.</w:t>
            </w:r>
          </w:p>
          <w:p w:rsidR="00461E67" w:rsidRDefault="00461E67" w:rsidP="00530999">
            <w:pPr>
              <w:pStyle w:val="ListParagraph"/>
              <w:numPr>
                <w:ilvl w:val="0"/>
                <w:numId w:val="3"/>
              </w:numPr>
              <w:ind w:left="432"/>
            </w:pPr>
            <w:r>
              <w:t>Provide feedback when performance is not meeting your expectations; don’t wait for the formal performance evaluation.</w:t>
            </w:r>
          </w:p>
        </w:tc>
      </w:tr>
    </w:tbl>
    <w:p w:rsidR="00A508C2" w:rsidRDefault="00A508C2" w:rsidP="00A508C2"/>
    <w:sectPr w:rsidR="00A508C2" w:rsidSect="00C54C0B">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4B" w:rsidRDefault="00C53E4B" w:rsidP="00C54C0B">
      <w:r>
        <w:separator/>
      </w:r>
    </w:p>
  </w:endnote>
  <w:endnote w:type="continuationSeparator" w:id="0">
    <w:p w:rsidR="00C53E4B" w:rsidRDefault="00C53E4B" w:rsidP="00C5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E6" w:rsidRDefault="00827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C2" w:rsidRPr="00827EE6" w:rsidRDefault="00827EE6" w:rsidP="00A629EC">
    <w:pPr>
      <w:pStyle w:val="Footer"/>
      <w:tabs>
        <w:tab w:val="clear" w:pos="4680"/>
        <w:tab w:val="clear" w:pos="9360"/>
        <w:tab w:val="center" w:pos="5040"/>
        <w:tab w:val="right" w:pos="10080"/>
      </w:tabs>
      <w:rPr>
        <w:rFonts w:asciiTheme="minorHAnsi" w:hAnsiTheme="minorHAnsi"/>
        <w:sz w:val="20"/>
        <w:szCs w:val="20"/>
      </w:rPr>
    </w:pPr>
    <w:r w:rsidRPr="00827EE6">
      <w:rPr>
        <w:rFonts w:asciiTheme="minorHAnsi" w:hAnsiTheme="minorHAnsi"/>
        <w:sz w:val="20"/>
        <w:szCs w:val="20"/>
      </w:rPr>
      <w:t>DOAS Human Resources Administration</w:t>
    </w:r>
    <w:r w:rsidR="00A508C2" w:rsidRPr="00827EE6">
      <w:rPr>
        <w:rFonts w:asciiTheme="minorHAnsi" w:hAnsiTheme="minorHAnsi"/>
        <w:sz w:val="20"/>
        <w:szCs w:val="20"/>
      </w:rPr>
      <w:tab/>
    </w:r>
    <w:r w:rsidR="007556B1" w:rsidRPr="00827EE6">
      <w:rPr>
        <w:rFonts w:asciiTheme="minorHAnsi" w:hAnsiTheme="minorHAnsi"/>
        <w:sz w:val="20"/>
        <w:szCs w:val="20"/>
      </w:rPr>
      <w:fldChar w:fldCharType="begin"/>
    </w:r>
    <w:r w:rsidR="00A508C2" w:rsidRPr="00827EE6">
      <w:rPr>
        <w:rFonts w:asciiTheme="minorHAnsi" w:hAnsiTheme="minorHAnsi"/>
        <w:sz w:val="20"/>
        <w:szCs w:val="20"/>
      </w:rPr>
      <w:instrText xml:space="preserve"> PAGE   \* MERGEFORMAT </w:instrText>
    </w:r>
    <w:r w:rsidR="007556B1" w:rsidRPr="00827EE6">
      <w:rPr>
        <w:rFonts w:asciiTheme="minorHAnsi" w:hAnsiTheme="minorHAnsi"/>
        <w:sz w:val="20"/>
        <w:szCs w:val="20"/>
      </w:rPr>
      <w:fldChar w:fldCharType="separate"/>
    </w:r>
    <w:r w:rsidR="00E40AE3">
      <w:rPr>
        <w:rFonts w:asciiTheme="minorHAnsi" w:hAnsiTheme="minorHAnsi"/>
        <w:noProof/>
        <w:sz w:val="20"/>
        <w:szCs w:val="20"/>
      </w:rPr>
      <w:t>1</w:t>
    </w:r>
    <w:r w:rsidR="007556B1" w:rsidRPr="00827EE6">
      <w:rPr>
        <w:rFonts w:asciiTheme="minorHAnsi" w:hAnsiTheme="minorHAnsi"/>
        <w:sz w:val="20"/>
        <w:szCs w:val="20"/>
      </w:rPr>
      <w:fldChar w:fldCharType="end"/>
    </w:r>
    <w:r w:rsidR="00A508C2" w:rsidRPr="00827EE6">
      <w:rPr>
        <w:rFonts w:asciiTheme="minorHAnsi" w:hAnsiTheme="minorHAnsi"/>
        <w:sz w:val="20"/>
        <w:szCs w:val="20"/>
      </w:rPr>
      <w:tab/>
    </w:r>
    <w:r w:rsidR="00A508C2" w:rsidRPr="00827EE6">
      <w:rPr>
        <w:rFonts w:asciiTheme="minorHAnsi" w:hAnsiTheme="minorHAnsi"/>
        <w:i/>
        <w:sz w:val="20"/>
        <w:szCs w:val="20"/>
      </w:rPr>
      <w:t xml:space="preserve">Revised </w:t>
    </w:r>
    <w:r w:rsidR="00E40AE3">
      <w:rPr>
        <w:rFonts w:asciiTheme="minorHAnsi" w:hAnsiTheme="minorHAnsi"/>
        <w:i/>
        <w:sz w:val="20"/>
        <w:szCs w:val="20"/>
      </w:rPr>
      <w:t>9/2015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E6" w:rsidRDefault="0082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4B" w:rsidRDefault="00C53E4B" w:rsidP="00C54C0B">
      <w:r>
        <w:separator/>
      </w:r>
    </w:p>
  </w:footnote>
  <w:footnote w:type="continuationSeparator" w:id="0">
    <w:p w:rsidR="00C53E4B" w:rsidRDefault="00C53E4B" w:rsidP="00C5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E6" w:rsidRDefault="00827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E6" w:rsidRDefault="00827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E6" w:rsidRDefault="00827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DFC"/>
    <w:multiLevelType w:val="hybridMultilevel"/>
    <w:tmpl w:val="815A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1DC6"/>
    <w:multiLevelType w:val="hybridMultilevel"/>
    <w:tmpl w:val="F3D6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10150"/>
    <w:multiLevelType w:val="hybridMultilevel"/>
    <w:tmpl w:val="089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C25C7"/>
    <w:multiLevelType w:val="hybridMultilevel"/>
    <w:tmpl w:val="19B8EFFC"/>
    <w:lvl w:ilvl="0" w:tplc="2202EB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76ACF"/>
    <w:multiLevelType w:val="hybridMultilevel"/>
    <w:tmpl w:val="8598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2"/>
    <w:rsid w:val="000369F2"/>
    <w:rsid w:val="00037782"/>
    <w:rsid w:val="00060844"/>
    <w:rsid w:val="000E0708"/>
    <w:rsid w:val="001016CC"/>
    <w:rsid w:val="0015622B"/>
    <w:rsid w:val="001D49DE"/>
    <w:rsid w:val="001F72E8"/>
    <w:rsid w:val="00215BC6"/>
    <w:rsid w:val="00225038"/>
    <w:rsid w:val="00274059"/>
    <w:rsid w:val="00274FF5"/>
    <w:rsid w:val="00277D3C"/>
    <w:rsid w:val="002973EF"/>
    <w:rsid w:val="002A164B"/>
    <w:rsid w:val="003747B8"/>
    <w:rsid w:val="00403911"/>
    <w:rsid w:val="00461E67"/>
    <w:rsid w:val="004772F7"/>
    <w:rsid w:val="004B60C0"/>
    <w:rsid w:val="004B7B6D"/>
    <w:rsid w:val="004E386B"/>
    <w:rsid w:val="004F2C88"/>
    <w:rsid w:val="00503285"/>
    <w:rsid w:val="00530999"/>
    <w:rsid w:val="00593541"/>
    <w:rsid w:val="005F09D8"/>
    <w:rsid w:val="00675E54"/>
    <w:rsid w:val="006D09CF"/>
    <w:rsid w:val="006F0E1B"/>
    <w:rsid w:val="00713D6B"/>
    <w:rsid w:val="0074291D"/>
    <w:rsid w:val="00753CC0"/>
    <w:rsid w:val="007556B1"/>
    <w:rsid w:val="00770815"/>
    <w:rsid w:val="007B7AF8"/>
    <w:rsid w:val="007F7B2D"/>
    <w:rsid w:val="00827EE6"/>
    <w:rsid w:val="008C67A5"/>
    <w:rsid w:val="008D5148"/>
    <w:rsid w:val="008E5745"/>
    <w:rsid w:val="009045CF"/>
    <w:rsid w:val="009339DB"/>
    <w:rsid w:val="009831D2"/>
    <w:rsid w:val="009F3321"/>
    <w:rsid w:val="00A10AFB"/>
    <w:rsid w:val="00A508C2"/>
    <w:rsid w:val="00A52174"/>
    <w:rsid w:val="00A629EC"/>
    <w:rsid w:val="00AF5D46"/>
    <w:rsid w:val="00B559E5"/>
    <w:rsid w:val="00B57F1F"/>
    <w:rsid w:val="00B85B4B"/>
    <w:rsid w:val="00BC2CA3"/>
    <w:rsid w:val="00C03281"/>
    <w:rsid w:val="00C178CE"/>
    <w:rsid w:val="00C24E6E"/>
    <w:rsid w:val="00C53E4B"/>
    <w:rsid w:val="00C54C0B"/>
    <w:rsid w:val="00CA5C09"/>
    <w:rsid w:val="00CB4C9D"/>
    <w:rsid w:val="00CD7A8E"/>
    <w:rsid w:val="00D6701A"/>
    <w:rsid w:val="00DE543B"/>
    <w:rsid w:val="00E13556"/>
    <w:rsid w:val="00E40AE3"/>
    <w:rsid w:val="00E57800"/>
    <w:rsid w:val="00E61FAC"/>
    <w:rsid w:val="00E928AA"/>
    <w:rsid w:val="00F02DAF"/>
    <w:rsid w:val="00F1689C"/>
    <w:rsid w:val="00F603D1"/>
    <w:rsid w:val="00F65F8C"/>
    <w:rsid w:val="00F71C67"/>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26F84-F637-40B5-AED0-B7AB5AA2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28AA"/>
    <w:rPr>
      <w:rFonts w:ascii="Tahoma" w:hAnsi="Tahoma" w:cs="Tahoma"/>
      <w:sz w:val="16"/>
      <w:szCs w:val="16"/>
    </w:rPr>
  </w:style>
  <w:style w:type="paragraph" w:styleId="Header">
    <w:name w:val="header"/>
    <w:basedOn w:val="Normal"/>
    <w:link w:val="HeaderChar"/>
    <w:rsid w:val="00C54C0B"/>
    <w:pPr>
      <w:tabs>
        <w:tab w:val="center" w:pos="4320"/>
        <w:tab w:val="right" w:pos="8640"/>
      </w:tabs>
    </w:pPr>
  </w:style>
  <w:style w:type="character" w:customStyle="1" w:styleId="HeaderChar">
    <w:name w:val="Header Char"/>
    <w:basedOn w:val="DefaultParagraphFont"/>
    <w:link w:val="Header"/>
    <w:rsid w:val="00C54C0B"/>
    <w:rPr>
      <w:sz w:val="24"/>
      <w:szCs w:val="24"/>
    </w:rPr>
  </w:style>
  <w:style w:type="paragraph" w:styleId="Footer">
    <w:name w:val="footer"/>
    <w:basedOn w:val="Normal"/>
    <w:link w:val="FooterChar"/>
    <w:uiPriority w:val="99"/>
    <w:rsid w:val="00C54C0B"/>
    <w:pPr>
      <w:tabs>
        <w:tab w:val="center" w:pos="4680"/>
        <w:tab w:val="right" w:pos="9360"/>
      </w:tabs>
    </w:pPr>
  </w:style>
  <w:style w:type="character" w:customStyle="1" w:styleId="FooterChar">
    <w:name w:val="Footer Char"/>
    <w:basedOn w:val="DefaultParagraphFont"/>
    <w:link w:val="Footer"/>
    <w:uiPriority w:val="99"/>
    <w:rsid w:val="00C54C0B"/>
    <w:rPr>
      <w:sz w:val="24"/>
      <w:szCs w:val="24"/>
    </w:rPr>
  </w:style>
  <w:style w:type="paragraph" w:styleId="ListParagraph">
    <w:name w:val="List Paragraph"/>
    <w:basedOn w:val="Normal"/>
    <w:uiPriority w:val="34"/>
    <w:qFormat/>
    <w:rsid w:val="00C54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5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DAF"/>
    <w:pPr>
      <w:spacing w:before="100" w:beforeAutospacing="1" w:after="100" w:afterAutospacing="1"/>
    </w:pPr>
  </w:style>
  <w:style w:type="character" w:styleId="Strong">
    <w:name w:val="Strong"/>
    <w:basedOn w:val="DefaultParagraphFont"/>
    <w:uiPriority w:val="22"/>
    <w:qFormat/>
    <w:rsid w:val="00F02DAF"/>
    <w:rPr>
      <w:b/>
      <w:bCs/>
    </w:rPr>
  </w:style>
  <w:style w:type="character" w:customStyle="1" w:styleId="klink">
    <w:name w:val="klink"/>
    <w:basedOn w:val="DefaultParagraphFont"/>
    <w:rsid w:val="00AF5D46"/>
  </w:style>
  <w:style w:type="paragraph" w:styleId="Revision">
    <w:name w:val="Revision"/>
    <w:hidden/>
    <w:uiPriority w:val="99"/>
    <w:semiHidden/>
    <w:rsid w:val="00904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5786">
      <w:bodyDiv w:val="1"/>
      <w:marLeft w:val="0"/>
      <w:marRight w:val="0"/>
      <w:marTop w:val="0"/>
      <w:marBottom w:val="0"/>
      <w:divBdr>
        <w:top w:val="none" w:sz="0" w:space="0" w:color="auto"/>
        <w:left w:val="none" w:sz="0" w:space="0" w:color="auto"/>
        <w:bottom w:val="none" w:sz="0" w:space="0" w:color="auto"/>
        <w:right w:val="none" w:sz="0" w:space="0" w:color="auto"/>
      </w:divBdr>
      <w:divsChild>
        <w:div w:id="1984505784">
          <w:marLeft w:val="0"/>
          <w:marRight w:val="0"/>
          <w:marTop w:val="0"/>
          <w:marBottom w:val="0"/>
          <w:divBdr>
            <w:top w:val="none" w:sz="0" w:space="0" w:color="auto"/>
            <w:left w:val="none" w:sz="0" w:space="0" w:color="auto"/>
            <w:bottom w:val="none" w:sz="0" w:space="0" w:color="auto"/>
            <w:right w:val="none" w:sz="0" w:space="0" w:color="auto"/>
          </w:divBdr>
          <w:divsChild>
            <w:div w:id="20332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297">
      <w:bodyDiv w:val="1"/>
      <w:marLeft w:val="0"/>
      <w:marRight w:val="0"/>
      <w:marTop w:val="0"/>
      <w:marBottom w:val="0"/>
      <w:divBdr>
        <w:top w:val="none" w:sz="0" w:space="0" w:color="auto"/>
        <w:left w:val="none" w:sz="0" w:space="0" w:color="auto"/>
        <w:bottom w:val="none" w:sz="0" w:space="0" w:color="auto"/>
        <w:right w:val="none" w:sz="0" w:space="0" w:color="auto"/>
      </w:divBdr>
      <w:divsChild>
        <w:div w:id="565993432">
          <w:marLeft w:val="0"/>
          <w:marRight w:val="0"/>
          <w:marTop w:val="0"/>
          <w:marBottom w:val="0"/>
          <w:divBdr>
            <w:top w:val="none" w:sz="0" w:space="0" w:color="auto"/>
            <w:left w:val="none" w:sz="0" w:space="0" w:color="auto"/>
            <w:bottom w:val="none" w:sz="0" w:space="0" w:color="auto"/>
            <w:right w:val="none" w:sz="0" w:space="0" w:color="auto"/>
          </w:divBdr>
          <w:divsChild>
            <w:div w:id="54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874F52B3E210540B1B48020CF054306" ma:contentTypeVersion="66" ma:contentTypeDescription="This is used to create DOAS Asset Library" ma:contentTypeScope="" ma:versionID="7f97956e8e503e58a946b6c3cbdd404a">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58e9fd9e7f5c72a3165d9655b871ca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Employees"/>
          <xsd:enumeration value="Managers"/>
          <xsd:enumeration value="HR Administrators"/>
          <xsd:enumeration value="Recognition"/>
          <xsd:enumeration value="Develop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64719721-3f2e-4037-a826-7fe00fbc2e3c">
      <Value>93</Value>
    </TaxCatchAll>
    <EffectiveDate xmlns="0726195c-4e5f-403b-b0e6-5bc4fc6a495f">2015-10-02T04:00:00+00:00</EffectiveDate>
    <Division xmlns="64719721-3f2e-4037-a826-7fe00fbc2e3c">Human Resources Administration</Division>
    <CategoryDoc xmlns="0726195c-4e5f-403b-b0e6-5bc4fc6a495f">Managers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c7b4474a-5aa1-46b6-9b13-f2ce0b873e65</TermId>
        </TermInfo>
      </Terms>
    </b814ba249d91463a8222dc7318a2e120>
    <DocumentDescription xmlns="0726195c-4e5f-403b-b0e6-5bc4fc6a495f">Outlines key activities managers might want to consider when monitoring employees’ performance.</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Props1.xml><?xml version="1.0" encoding="utf-8"?>
<ds:datastoreItem xmlns:ds="http://schemas.openxmlformats.org/officeDocument/2006/customXml" ds:itemID="{3BBCCC3D-E3A4-4D94-BC06-FD01A75056BC}"/>
</file>

<file path=customXml/itemProps2.xml><?xml version="1.0" encoding="utf-8"?>
<ds:datastoreItem xmlns:ds="http://schemas.openxmlformats.org/officeDocument/2006/customXml" ds:itemID="{69E6A681-9BA6-48BC-B7AC-1088404BD1AF}"/>
</file>

<file path=customXml/itemProps3.xml><?xml version="1.0" encoding="utf-8"?>
<ds:datastoreItem xmlns:ds="http://schemas.openxmlformats.org/officeDocument/2006/customXml" ds:itemID="{18C288D6-142C-46FA-B13A-3AB753CC996D}"/>
</file>

<file path=customXml/itemProps4.xml><?xml version="1.0" encoding="utf-8"?>
<ds:datastoreItem xmlns:ds="http://schemas.openxmlformats.org/officeDocument/2006/customXml" ds:itemID="{81064A13-31A0-477C-B4DA-84E71D90C5EB}"/>
</file>

<file path=customXml/itemProps5.xml><?xml version="1.0" encoding="utf-8"?>
<ds:datastoreItem xmlns:ds="http://schemas.openxmlformats.org/officeDocument/2006/customXml" ds:itemID="{8E219D05-B100-45C3-86DF-18B6EE9DA4B2}"/>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Monitoring Performance</vt:lpstr>
    </vt:vector>
  </TitlesOfParts>
  <Company>State Personnel Administration</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Performance</dc:title>
  <dc:subject/>
  <dc:creator>Administrator</dc:creator>
  <cp:keywords/>
  <dc:description/>
  <cp:lastModifiedBy>Ray, Robert</cp:lastModifiedBy>
  <cp:revision>2</cp:revision>
  <cp:lastPrinted>2011-07-13T20:39:00Z</cp:lastPrinted>
  <dcterms:created xsi:type="dcterms:W3CDTF">2015-09-30T19:07:00Z</dcterms:created>
  <dcterms:modified xsi:type="dcterms:W3CDTF">2015-09-30T19:07:00Z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0x010100B2029F26138C4BFDA158A626F91E876A00E874F52B3E210540B1B48020CF054306</vt:lpwstr>
  </property>
  <property fmtid="{D5CDD505-2E9C-101B-9397-08002B2CF9AE}" pid="3" name="Order">
    <vt:r8>8400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TaxKeyword">
    <vt:lpwstr/>
  </property>
  <property fmtid="{D5CDD505-2E9C-101B-9397-08002B2CF9AE}" pid="10" name="BusinessServices">
    <vt:lpwstr>93;#Performance Management|c7b4474a-5aa1-46b6-9b13-f2ce0b873e65</vt:lpwstr>
  </property>
  <property fmtid="{D5CDD505-2E9C-101B-9397-08002B2CF9AE}" pid="11" name="VideoType">
    <vt:lpwstr/>
  </property>
</Properties>
</file>